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Esports y publicidad ¿Cómo </w:t>
      </w:r>
      <w:r w:rsidDel="00000000" w:rsidR="00000000" w:rsidRPr="00000000">
        <w:rPr>
          <w:b w:val="1"/>
          <w:sz w:val="26"/>
          <w:szCs w:val="26"/>
          <w:rtl w:val="0"/>
        </w:rPr>
        <w:t xml:space="preserve">darle play</w:t>
      </w:r>
      <w:r w:rsidDel="00000000" w:rsidR="00000000" w:rsidRPr="00000000">
        <w:rPr>
          <w:b w:val="1"/>
          <w:sz w:val="26"/>
          <w:szCs w:val="26"/>
          <w:rtl w:val="0"/>
        </w:rPr>
        <w:t xml:space="preserve"> a las marcas en el mercado del gaming?</w:t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El mercado del gaming se convirtió en un fenómeno mundial que está facturando millones de dólares en ganancias desde la taquilla, la descarga de los videojuegos y que ahora comparte frutos con otros mercados como la industria musical, cinematográfica y los deportes. 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acuerdo con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Statista</w:t>
        </w:r>
      </w:hyperlink>
      <w:r w:rsidDel="00000000" w:rsidR="00000000" w:rsidRPr="00000000">
        <w:rPr>
          <w:rtl w:val="0"/>
        </w:rPr>
        <w:t xml:space="preserve">, tan sólo en 2022, el mercado </w:t>
      </w:r>
      <w:r w:rsidDel="00000000" w:rsidR="00000000" w:rsidRPr="00000000">
        <w:rPr>
          <w:i w:val="1"/>
          <w:rtl w:val="0"/>
        </w:rPr>
        <w:t xml:space="preserve">gaming</w:t>
      </w:r>
      <w:r w:rsidDel="00000000" w:rsidR="00000000" w:rsidRPr="00000000">
        <w:rPr>
          <w:rtl w:val="0"/>
        </w:rPr>
        <w:t xml:space="preserve"> en </w:t>
      </w:r>
      <w:r w:rsidDel="00000000" w:rsidR="00000000" w:rsidRPr="00000000">
        <w:rPr>
          <w:b w:val="1"/>
          <w:rtl w:val="0"/>
        </w:rPr>
        <w:t xml:space="preserve">Chile</w:t>
      </w:r>
      <w:r w:rsidDel="00000000" w:rsidR="00000000" w:rsidRPr="00000000">
        <w:rPr>
          <w:rtl w:val="0"/>
        </w:rPr>
        <w:t xml:space="preserve"> generó ingresos  por 354 millones de dólares, ubicándolo como </w:t>
      </w:r>
      <w:r w:rsidDel="00000000" w:rsidR="00000000" w:rsidRPr="00000000">
        <w:rPr>
          <w:b w:val="1"/>
          <w:rtl w:val="0"/>
        </w:rPr>
        <w:t xml:space="preserve">el tercer país de América Latina</w:t>
      </w:r>
      <w:r w:rsidDel="00000000" w:rsidR="00000000" w:rsidRPr="00000000">
        <w:rPr>
          <w:rtl w:val="0"/>
        </w:rPr>
        <w:t xml:space="preserve"> con mayores ingresos en el rubro, luego de Brasil (1,3 mil millones de dólares) y México (1,2 mil millones de dólares).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¡Comienza el juego! 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Según estimaciones de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Boston Consulting Group</w:t>
        </w:r>
      </w:hyperlink>
      <w:r w:rsidDel="00000000" w:rsidR="00000000" w:rsidRPr="00000000">
        <w:rPr>
          <w:rtl w:val="0"/>
        </w:rPr>
        <w:t xml:space="preserve">, el sector de los videojuegos, así como los </w:t>
      </w:r>
      <w:r w:rsidDel="00000000" w:rsidR="00000000" w:rsidRPr="00000000">
        <w:rPr>
          <w:i w:val="1"/>
          <w:rtl w:val="0"/>
        </w:rPr>
        <w:t xml:space="preserve">esports</w:t>
      </w:r>
      <w:r w:rsidDel="00000000" w:rsidR="00000000" w:rsidRPr="00000000">
        <w:rPr>
          <w:rtl w:val="0"/>
        </w:rPr>
        <w:t xml:space="preserve">, son un negocio que </w:t>
      </w:r>
      <w:r w:rsidDel="00000000" w:rsidR="00000000" w:rsidRPr="00000000">
        <w:rPr>
          <w:b w:val="1"/>
          <w:rtl w:val="0"/>
        </w:rPr>
        <w:t xml:space="preserve">podría generar este año cerca de 200 mil millones de dólares en ingresos anuales</w:t>
      </w:r>
      <w:r w:rsidDel="00000000" w:rsidR="00000000" w:rsidRPr="00000000">
        <w:rPr>
          <w:rtl w:val="0"/>
        </w:rPr>
        <w:t xml:space="preserve">, lo que representa un ocho por ciento de crecimiento desde los 138 mil millones de dólares que generó en 2018.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“Esta brecha se expandió debido a que durante la pandemia uno de los principales escapes al estrés del confinamiento fueron las transmisiones de varias ligas de videojuegos, además de que incrementó la cantidad de jugadores y de creadores de contenido que se mudaron a cuentas de streaming en vivo”,</w:t>
      </w:r>
      <w:r w:rsidDel="00000000" w:rsidR="00000000" w:rsidRPr="00000000">
        <w:rPr>
          <w:rtl w:val="0"/>
        </w:rPr>
        <w:t xml:space="preserve"> dijo </w:t>
      </w:r>
      <w:r w:rsidDel="00000000" w:rsidR="00000000" w:rsidRPr="00000000">
        <w:rPr>
          <w:b w:val="1"/>
          <w:rtl w:val="0"/>
        </w:rPr>
        <w:t xml:space="preserve">Mayra Alcántara, Director Influencer Marketing de </w:t>
      </w: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i w:val="1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agencia global con la oferta más grande de América Latina.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Datos del mismo informe indican que cerca de 3 mil millones de personas en todo el mundo fueron consideradas “jugadores” desde el año 2021.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Actualmente, las campañas en los videojuegos y los</w:t>
      </w:r>
      <w:r w:rsidDel="00000000" w:rsidR="00000000" w:rsidRPr="00000000">
        <w:rPr>
          <w:i w:val="1"/>
          <w:rtl w:val="0"/>
        </w:rPr>
        <w:t xml:space="preserve"> esports</w:t>
      </w:r>
      <w:r w:rsidDel="00000000" w:rsidR="00000000" w:rsidRPr="00000000">
        <w:rPr>
          <w:rtl w:val="0"/>
        </w:rPr>
        <w:t xml:space="preserve"> son tomados con bastante seriedad por distintas marcas, apuntó </w:t>
      </w:r>
      <w:r w:rsidDel="00000000" w:rsidR="00000000" w:rsidRPr="00000000">
        <w:rPr>
          <w:b w:val="1"/>
          <w:rtl w:val="0"/>
        </w:rPr>
        <w:t xml:space="preserve">Alcántara </w:t>
      </w:r>
      <w:r w:rsidDel="00000000" w:rsidR="00000000" w:rsidRPr="00000000">
        <w:rPr>
          <w:i w:val="1"/>
          <w:rtl w:val="0"/>
        </w:rPr>
        <w:t xml:space="preserve">“Muchos jugadores en línea tienen la misma reputación que atletas profesionales”</w:t>
      </w:r>
      <w:r w:rsidDel="00000000" w:rsidR="00000000" w:rsidRPr="00000000">
        <w:rPr>
          <w:rtl w:val="0"/>
        </w:rPr>
        <w:t xml:space="preserve">, sostuvo.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¡Arriba, abajo, combo ganador!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Un ejemplo del poder de convocatoria de esta industria ocurrió en 2019 durante la final de la Copa Mundial Fortnite, que se llevó a cabo en el estadio Arthur Ashe, en la misma sede del US Open. El evento atrajo a 2,3 millones de espectadores y el ganador se llevó a casa cerca de 3 millones de dólares en premios. 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el mercado de habla hispana, uno de los mayores exponentes que se ha dedicado a romper récords es el streamer español Ibai Llanos. Las estadísticas revelan que durante su evento de box La Velada del Año 2, que reunió a varios streamers e influencers en el Palau Olímpic de Badalona, en Barcelona, alcanzó un peak máximo de 3.356.074 espectadores, un promedio de 2.427.24 y un total de 8.768.729 usuarios únicos.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el caso de Sudamérica, Brasil no se queda nada atrás, debido a que ha sido elegido por distintas ligas como su primera casa para llevar a cabo distintos torneos, como es el reciente caso de Valorant Champions Tour VCT 2023 en Sao Paulo. Esta competencia ocurre en tres regiones. Sus finales han sumado a más de 300 mil espectadores en línea, y tienen el respaldo de Riot Games, una desarrolladora de videojuegos que se encuentra en el top de las más importantes del mundo, y son propietarios de League of Legends, que generó 1.750 millones de dólares en ganancias durante 2020. 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¿Cómo ganarle al jefe final desde la publicidad?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experta de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señala que es importante tener en cuenta que la publicidad en los </w:t>
      </w:r>
      <w:r w:rsidDel="00000000" w:rsidR="00000000" w:rsidRPr="00000000">
        <w:rPr>
          <w:i w:val="1"/>
          <w:rtl w:val="0"/>
        </w:rPr>
        <w:t xml:space="preserve">esports </w:t>
      </w:r>
      <w:r w:rsidDel="00000000" w:rsidR="00000000" w:rsidRPr="00000000">
        <w:rPr>
          <w:rtl w:val="0"/>
        </w:rPr>
        <w:t xml:space="preserve">no es igual que en otros medios tradicionales. Los gamers y espectadores son una comunidad muy comprometida y no aceptarán publicidades invasivas o que no tengan relación con su interés principal: los videojuegos.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“Por eso, es fundamental que las marcas se acerquen al mercado de los esports de forma auténtica, creando contenidos de valor y participando en eventos que les permitan conectar con la audiencia de forma genuina”</w:t>
      </w:r>
      <w:r w:rsidDel="00000000" w:rsidR="00000000" w:rsidRPr="00000000">
        <w:rPr>
          <w:rtl w:val="0"/>
        </w:rPr>
        <w:t xml:space="preserve">, apuntó Alcántara. 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Una forma de hacerlo es patrocinando equipos o jugadores profesionales, lo que les da visibilidad y genera una asociación positiva de la marca con los valores y pasión de los gamers. También es importante tener presencia en las plataformas de streaming de videojuegos, como Twitch, donde los gamers pasan gran parte de su tiempo y se relacionan con sus comunidades.</w:t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experta en temas de Twitch, publicidad en videojuegos y streaming, Frida Olivares, Influencer Marketing Manager de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, comentó que </w:t>
      </w:r>
      <w:r w:rsidDel="00000000" w:rsidR="00000000" w:rsidRPr="00000000">
        <w:rPr>
          <w:i w:val="1"/>
          <w:rtl w:val="0"/>
        </w:rPr>
        <w:t xml:space="preserve">“existen más de 8 millones de streamers actualmente en el mundo. El español es el segundo idioma para viewers y streamers en activo. Además, Twitch cuenta con más de mil millones de visitas mensuales”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los últimos dos años, ha pasado de una media de 1 millón de viewers diarios a más de 2 millones de media en los últimos meses (y peaks por encima de los 4 millones). Los últimos dos Récord Guinness de más visualizaciones simultáneas en Twitch son de hispano hablantes, el primero con más de 2.4 millones en enero 2021 y el segundo con más de 3.3 millones en junio 2022, indicó Olivares. 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Durante enero del 2023 hay cuatro streamers latinoamericanos en el top 10 hispanohablante: Spreen, Robleis, El Mariana y Juan Guarnizo.</w:t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Además, el uso de influencers y streamers de gaming puede ser muy efectivo para las marcas que buscan conectar con el público de los esports. Estos influencers tienen una gran influencia en la comunidad de gamers y pueden ayudar a construir la imagen de una marca y a aumentar su visibilidad.</w:t>
      </w:r>
    </w:p>
    <w:p w:rsidR="00000000" w:rsidDel="00000000" w:rsidP="00000000" w:rsidRDefault="00000000" w:rsidRPr="00000000" w14:paraId="0000002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“Las marcas que quieran tener éxito en el mercado de los esports, deben tener en cuenta las diferencias regionales y culturales de cada país y adaptar su estrategia en consecuencia”</w:t>
      </w:r>
      <w:r w:rsidDel="00000000" w:rsidR="00000000" w:rsidRPr="00000000">
        <w:rPr>
          <w:rtl w:val="0"/>
        </w:rPr>
        <w:t xml:space="preserve">, agregó Alcántara. 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</w:p>
    <w:p w:rsidR="00000000" w:rsidDel="00000000" w:rsidP="00000000" w:rsidRDefault="00000000" w:rsidRPr="00000000" w14:paraId="0000002E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firstLine="0"/>
        <w:jc w:val="both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Acerca de 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another </w:t>
      </w:r>
    </w:p>
    <w:p w:rsidR="00000000" w:rsidDel="00000000" w:rsidP="00000000" w:rsidRDefault="00000000" w:rsidRPr="00000000" w14:paraId="00000030">
      <w:pPr>
        <w:spacing w:after="0" w:before="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Fundada en 2004 por Jaspar Eyears y Rodrigo Peñafiel,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another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another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influencer marketing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social media, branding, content &amp; inbound marketing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another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forma parte de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Constellation Global Network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31">
      <w:pPr>
        <w:spacing w:after="0" w:before="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before="0" w:line="240" w:lineRule="auto"/>
        <w:jc w:val="both"/>
        <w:rPr>
          <w:color w:val="1d1c1d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Para más información visita</w:t>
      </w:r>
      <w:hyperlink r:id="rId9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another.co</w:t>
        </w:r>
      </w:hyperlink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y síguelos en sus redes sociales:</w:t>
      </w:r>
      <w:hyperlink r:id="rId11">
        <w:r w:rsidDel="00000000" w:rsidR="00000000" w:rsidRPr="00000000">
          <w:rPr>
            <w:color w:val="1d1c1d"/>
            <w:sz w:val="20"/>
            <w:szCs w:val="20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Facebook</w:t>
        </w:r>
      </w:hyperlink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,</w:t>
      </w:r>
      <w:hyperlink r:id="rId13">
        <w:r w:rsidDel="00000000" w:rsidR="00000000" w:rsidRPr="00000000">
          <w:rPr>
            <w:color w:val="1d1c1d"/>
            <w:sz w:val="20"/>
            <w:szCs w:val="20"/>
            <w:highlight w:val="white"/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Twitter</w:t>
        </w:r>
      </w:hyperlink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,</w:t>
      </w:r>
      <w:hyperlink r:id="rId15">
        <w:r w:rsidDel="00000000" w:rsidR="00000000" w:rsidRPr="00000000">
          <w:rPr>
            <w:color w:val="1d1c1d"/>
            <w:sz w:val="20"/>
            <w:szCs w:val="20"/>
            <w:highlight w:val="white"/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Instagram</w:t>
        </w:r>
      </w:hyperlink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 y</w:t>
      </w:r>
      <w:hyperlink r:id="rId17">
        <w:r w:rsidDel="00000000" w:rsidR="00000000" w:rsidRPr="00000000">
          <w:rPr>
            <w:color w:val="1d1c1d"/>
            <w:sz w:val="20"/>
            <w:szCs w:val="20"/>
            <w:highlight w:val="white"/>
            <w:rtl w:val="0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Linkedin</w:t>
        </w:r>
      </w:hyperlink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4046008</wp:posOffset>
          </wp:positionH>
          <wp:positionV relativeFrom="paragraph">
            <wp:posOffset>0</wp:posOffset>
          </wp:positionV>
          <wp:extent cx="1685192" cy="547688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5192" cy="547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nothercompany/" TargetMode="External"/><Relationship Id="rId10" Type="http://schemas.openxmlformats.org/officeDocument/2006/relationships/hyperlink" Target="http://another.co/" TargetMode="External"/><Relationship Id="rId13" Type="http://schemas.openxmlformats.org/officeDocument/2006/relationships/hyperlink" Target="https://twitter.com/anotherco?lang=en" TargetMode="External"/><Relationship Id="rId12" Type="http://schemas.openxmlformats.org/officeDocument/2006/relationships/hyperlink" Target="https://www.facebook.com/anothercompan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nother.co/" TargetMode="External"/><Relationship Id="rId15" Type="http://schemas.openxmlformats.org/officeDocument/2006/relationships/hyperlink" Target="https://www.instagram.com/anotherco/" TargetMode="External"/><Relationship Id="rId14" Type="http://schemas.openxmlformats.org/officeDocument/2006/relationships/hyperlink" Target="https://twitter.com/anotherco?lang=en" TargetMode="External"/><Relationship Id="rId17" Type="http://schemas.openxmlformats.org/officeDocument/2006/relationships/hyperlink" Target="https://www.linkedin.com/company/anotherco/" TargetMode="External"/><Relationship Id="rId16" Type="http://schemas.openxmlformats.org/officeDocument/2006/relationships/hyperlink" Target="https://www.instagram.com/anotherco/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www.statista.com/forecasts/500035/gaming-revenue-countries-latin-america" TargetMode="External"/><Relationship Id="rId18" Type="http://schemas.openxmlformats.org/officeDocument/2006/relationships/hyperlink" Target="https://www.linkedin.com/company/anotherco/" TargetMode="External"/><Relationship Id="rId7" Type="http://schemas.openxmlformats.org/officeDocument/2006/relationships/hyperlink" Target="https://web-assets.bcg.com/b9/d0/7d224662479c94692a7b5df5e235/gaming-esports-medias-next-paradigm-shift.pdf" TargetMode="External"/><Relationship Id="rId8" Type="http://schemas.openxmlformats.org/officeDocument/2006/relationships/hyperlink" Target="https://www.another.co/?utm_source=PR+Gaming+Chile&amp;utm_medium=Gaming+Chile&amp;utm_campaign=Gaming+Chile&amp;utm_id=Chil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